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cs="Times New Roman"/>
          <w:spacing w:val="0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default" w:ascii="Times New Roman" w:hAnsi="Times New Roman" w:cs="Times New Roman"/>
          <w:spacing w:val="0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default" w:ascii="Times New Roman" w:hAnsi="Times New Roman" w:cs="Times New Roman"/>
          <w:spacing w:val="0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default" w:ascii="Times New Roman" w:hAnsi="Times New Roman" w:cs="Times New Roman"/>
          <w:spacing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val="en-US" w:eastAsia="zh-CN"/>
        </w:rPr>
        <w:t>台政字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val="en-US" w:eastAsia="zh-CN"/>
        </w:rPr>
        <w:t>63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default"/>
          <w:spacing w:val="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highlight w:val="none"/>
          <w:lang w:val="en-US" w:eastAsia="zh-CN"/>
        </w:rPr>
        <w:t>台儿庄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highlight w:val="none"/>
          <w:lang w:val="en-US" w:eastAsia="zh-CN"/>
        </w:rPr>
        <w:t>区人民政府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highlight w:val="none"/>
          <w:lang w:val="en-US" w:eastAsia="zh-CN"/>
        </w:rPr>
        <w:t>印发《台儿庄区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highlight w:val="none"/>
          <w:lang w:val="en-US" w:eastAsia="zh-CN" w:bidi="ar-SA"/>
        </w:rPr>
        <w:t>支持企业上市挂牌“鲲鹏”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highlight w:val="none"/>
          <w:lang w:val="en-US" w:eastAsia="zh-CN" w:bidi="ar-SA"/>
        </w:rPr>
        <w:t>计划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highlight w:val="none"/>
          <w:lang w:val="en-US" w:eastAsia="zh-CN" w:bidi="ar-SA"/>
        </w:rPr>
        <w:t>的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highlight w:val="none"/>
          <w:lang w:val="en-US" w:eastAsia="zh-CN" w:bidi="ar-SA"/>
        </w:rPr>
        <w:t>实施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highlight w:val="none"/>
          <w:lang w:val="en-US" w:eastAsia="zh-CN" w:bidi="ar-SA"/>
        </w:rPr>
        <w:t>意见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highlight w:val="none"/>
          <w:lang w:val="en-US" w:eastAsia="zh-CN"/>
        </w:rPr>
        <w:t>》的通知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default"/>
          <w:spacing w:val="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镇人民政府、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运河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街道办事处，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经济开发区，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区政府有关部门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（单位），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现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将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台儿庄区支持企业上市挂牌“鲲鹏”计划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意见》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印发给你们，请结合实际，认真抓好贯彻执行。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                       台儿庄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区人民政府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rFonts w:hint="default"/>
          <w:spacing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color w:val="auto"/>
          <w:spacing w:val="0"/>
          <w:kern w:val="2"/>
          <w:szCs w:val="44"/>
          <w:highlight w:val="none"/>
        </w:rPr>
        <w:br w:type="page"/>
      </w: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highlight w:val="none"/>
          <w:lang w:val="en-US" w:eastAsia="zh-CN" w:bidi="ar-SA"/>
        </w:rPr>
        <w:t>台儿庄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highlight w:val="none"/>
          <w:lang w:val="en-US" w:eastAsia="zh-CN" w:bidi="ar-SA"/>
        </w:rPr>
        <w:t>区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highlight w:val="none"/>
          <w:lang w:val="en-US" w:eastAsia="zh-CN" w:bidi="ar-SA"/>
        </w:rPr>
        <w:t>支持企业上市挂牌“鲲鹏”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highlight w:val="none"/>
          <w:lang w:val="en-US" w:eastAsia="zh-CN" w:bidi="ar-SA"/>
        </w:rPr>
        <w:t>计划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highlight w:val="none"/>
          <w:lang w:val="en-US" w:eastAsia="zh-CN" w:bidi="ar-SA"/>
        </w:rPr>
        <w:t>的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highlight w:val="none"/>
          <w:lang w:val="en-US" w:eastAsia="zh-CN" w:bidi="ar-SA"/>
        </w:rPr>
        <w:t>实施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highlight w:val="none"/>
          <w:lang w:val="en-US" w:eastAsia="zh-CN" w:bidi="ar-SA"/>
        </w:rPr>
        <w:t>意见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auto"/>
          <w:spacing w:val="0"/>
          <w:sz w:val="32"/>
          <w:szCs w:val="15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为纵深推进“工业强市、产业兴市”战略，贯彻落实区委、区政府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“1163”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总体工作思路，进一步推动我区企业上市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挂牌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工作，提高上市公司治理，充分发挥上市公司在产业转型升级中的“头雁”作用，助力辖区企业境内外上市数量倍增，现结合我区实际，制定本实施意见。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一、工作目标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坚持“企业主体、市场引导、政府推动”的原则，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按照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“培育一批、辅导一批、申报一批、上市一批”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的工作思路，有计划、分阶段推动企业上市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挂牌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工作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。五年内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，新增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家股改企业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并在区域股权交易市场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挂牌、至少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家企业在境内外资本市场上市挂牌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，实现直接融资占比突破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50%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二、强化上市后备培育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（一）分层次入库。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按照“统筹规划驱动、优势企业带动、梯次推动互动”的方针，积极引导、科学规划、分类指导、精心培育，打造企业上市矩阵，加快分批上市进程。将符合条件的重点企业分别纳入“竞跃”股改库、“凌云”上市库，对入库企业，实施“孕育、成长、蝶变”滚动培育计划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（二）实施动态管理。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坚持“优中选优”“宽进强育”“动态管理”的原则，遴选治理结构完善、主营业务突出、竞争能力较强、具有发展潜力的企业进行重点培育，适时调整入库企业，动态保持“竞跃”股改库入库企业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家左右、“凌云”上市库入库企业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家左右的后备资源梯队。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三、加大政策扶持力度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（一）股改挂牌奖补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完成股份制改制并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在省内区域股权交易市场挂牌的企业，区财政补助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（二）新三板挂牌奖补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1.在全国中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小企业股份转让系统（以下简称“新三板”）基础层成功挂牌的企业，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区财政补助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万元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；通过基础层进入创新层的企业，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区财政补助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50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万元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；直接在新三板创新层挂牌，区财政补助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150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2.对注册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地、纳税登记地新迁入我区的外地新三板挂牌企业，按照挂牌层次给予一次性奖补。其中，挂牌基础层企业，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区财政补助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万元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；挂牌创新层企业，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区财政补助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万元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（三）上市奖补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1.多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层次资本市场。对在境内交易所首发上市的企业，区财政补助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万元；对在境外首发上市，募集资金达到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亿元人民币（含）以上不足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亿元人民币的企业，区财政补助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万元；募集资金达到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亿元人民币（含）以上的企业，区财政补助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2.多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途径上市。对在境内通过资产重组等方式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“借壳”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上市并取得上市公司控制权后，将上市企业注册地和纳税地迁至我区的企业，或直接将注册地和纳税地迁至我区的上市企业，区财政补助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00万元。对在境外通过资产重组等方式“借壳”上市并取得上市公司控制权后，将上市主体注册地和纳税地迁至我区，且募集资金高于1亿元人民币（含）的企业，区财政补助400万元。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3.分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阶段递增奖补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（1）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北交所上市。新三板挂牌企业申报北京证券交易所上市，报山东证监局辅导备案的，给予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50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万元奖励；新三板挂牌企业申报北京证券交易所受理的，给予200万元奖励；北京证券交易所成功上市，给予400万元奖励。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（2）沪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深交所上市。企业在收到山东省证监局辅导验收报告后，给予100万元奖励；上市后备企业申报材料获中国证监会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或上海、深圳证券交易所首次受理的，给予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200万元奖励；企业成功首发上市，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给予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500万元奖励。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（3）其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他上市。境外上市、“借壳上市”可采取“一事一议”，分阶段、分节点享受递增奖补政策。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（四）再融资奖补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上市公司通过增发、配股以及发行可转债等股权方式实现再融资，且实际募集资金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70%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（含）以上投资于我区，募集金额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亿元人民币（含）以上不足</w:t>
      </w:r>
      <w:r>
        <w:rPr>
          <w:rFonts w:hint="eastAsia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亿元人民币的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，奖励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50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万元；募集金额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亿元</w:t>
      </w:r>
      <w:r>
        <w:rPr>
          <w:rFonts w:hint="eastAsia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人民币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（含）以上的，奖励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100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万元。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四、完善保障机制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  <w:lang w:val="en-US" w:eastAsia="zh-CN" w:bidi="ar-SA"/>
        </w:rPr>
        <w:t>（一）完善工作机制。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建立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“1”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个工作领导小组，成立推进企业上市工作领导小组，建立健全企业上市联席会议制度，负责全区企业上市挂牌等工作的组织领导和协调推进；按照“一企一专班”原则，建立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“N”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个工作专班，实施“一对一”服务机制，对企业在改制、辅导、上市过程中遇到的问题，开展全程跟踪服务，优先协调解决。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  <w:lang w:val="en-US" w:eastAsia="zh-CN" w:bidi="ar-SA"/>
        </w:rPr>
        <w:t>（二）开辟上市“绿色通道”。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各级、各有关部门在为企业上市（挂牌）办理股权转让、土地房屋产权、项目审批、历史沿革审核、缴纳社保税费、环评安评能评、注册登记、出具合规性证明材料等事项时，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按照“尊重历史、依法合规、一事一议”的原则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，进一步简化审批流程，实行限时办结、容缺办理，并积极配合保荐机构等开展现场访谈。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  <w:lang w:val="en-US" w:eastAsia="zh-CN" w:bidi="ar-SA"/>
        </w:rPr>
        <w:t>（三）强化上市合规指导。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推动上市（挂牌）后备企业规范发展，通过指导、教育等方式，督促企业规范、守法经营，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按照“风险提示在先、服务沟通在前”的原则，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务必审慎对重点上市后备企业作出责令停产停业、吊销许可证或者执照、较大数额罚款等行政处罚决定，避免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“以罚代管”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。审批上市公司注册地迁址等重大事项，应提前告知区金融服务中心介入。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五、其他事项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宋体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宋体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_GB2312" w:hAnsi="宋体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适用本</w:t>
      </w:r>
      <w:r>
        <w:rPr>
          <w:rFonts w:hint="eastAsia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实施意见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的企业需在台儿庄区办理企业注册登记、具有实际办公场所，在台儿庄区依规纳统、依法纳税，在台儿庄区内银行机构开立基本存款账户。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宋体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宋体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_GB2312" w:hAnsi="宋体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后备企业的认定和本</w:t>
      </w:r>
      <w:r>
        <w:rPr>
          <w:rFonts w:hint="eastAsia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实施意见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奖励资金兑现程序由区财政局、区金融服务中心制定具体申报指南。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宋体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宋体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_GB2312" w:hAnsi="宋体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企业享受本</w:t>
      </w:r>
      <w:r>
        <w:rPr>
          <w:rFonts w:hint="eastAsia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实施意见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优惠政策的，须承诺五年内不得迁离台儿庄区，企业新建项目需承诺首选枣庄市境内，企业若因</w:t>
      </w:r>
      <w:r>
        <w:rPr>
          <w:rFonts w:hint="eastAsia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自身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原因在企业注册登记之日起五年内迁出台儿庄区的，需将已经兑现的奖励资金全额退还。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宋体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宋体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</w:t>
      </w:r>
      <w:r>
        <w:rPr>
          <w:rFonts w:hint="eastAsia" w:ascii="仿宋_GB2312" w:hAnsi="宋体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企业以弄虚作假等手段骗取奖励资金的，违法违规等被证监部门处罚导致终止挂牌、上市审核或者上市后被勒令退市的，由原奖励或补贴的单位收回已享受的奖励或补贴，并纳入信用记录。涉嫌违法犯罪的，依法追究法律责任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六、附则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本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实施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意见自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公布之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日起施行，与之前有关政策不一致的，以本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实施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意见为准。本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实施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意见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具体解释与组织实施由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区金融服务中心和区财政局负责。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附件：台儿庄区推进企业上市工作领导小组成员名单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及工作职责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spacing w:val="0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spacing w:val="0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spacing w:val="0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spacing w:val="0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 w:color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台儿庄区推进企业上市工作领导小组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成员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eastAsia="zh-CN"/>
        </w:rPr>
        <w:t>名单及工作职责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0"/>
          <w:rFonts w:hint="eastAsia" w:ascii="黑体" w:hAnsi="黑体" w:eastAsia="黑体" w:cs="黑体"/>
          <w:b w:val="0"/>
          <w:sz w:val="32"/>
          <w:szCs w:val="32"/>
          <w:highlight w:val="none"/>
        </w:rPr>
      </w:pPr>
      <w:r>
        <w:rPr>
          <w:rStyle w:val="10"/>
          <w:rFonts w:hint="eastAsia" w:ascii="黑体" w:hAnsi="黑体" w:eastAsia="黑体" w:cs="黑体"/>
          <w:b w:val="0"/>
          <w:sz w:val="32"/>
          <w:szCs w:val="32"/>
          <w:highlight w:val="none"/>
        </w:rPr>
        <w:t>一、领导小组成员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 w:color="auto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sz w:val="32"/>
          <w:szCs w:val="32"/>
          <w:highlight w:val="none"/>
        </w:rPr>
        <w:t>组  长：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 w:color="auto"/>
          <w:lang w:val="en-US" w:eastAsia="zh-CN"/>
        </w:rPr>
        <w:t>刘晓璐  区委副书记、区长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 w:color="auto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sz w:val="32"/>
          <w:szCs w:val="32"/>
          <w:highlight w:val="none"/>
        </w:rPr>
        <w:t>副组长：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 w:color="auto"/>
          <w:lang w:val="en-US" w:eastAsia="zh-CN"/>
        </w:rPr>
        <w:t>杨  庸  区政府副区长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</w:pPr>
      <w:r>
        <w:rPr>
          <w:rStyle w:val="10"/>
          <w:rFonts w:hint="eastAsia" w:ascii="黑体" w:hAnsi="黑体" w:eastAsia="黑体" w:cs="黑体"/>
          <w:b w:val="0"/>
          <w:sz w:val="32"/>
          <w:szCs w:val="32"/>
          <w:highlight w:val="none"/>
        </w:rPr>
        <w:t>成  员</w:t>
      </w:r>
      <w:r>
        <w:rPr>
          <w:rStyle w:val="10"/>
          <w:rFonts w:hint="eastAsia" w:ascii="黑体" w:hAnsi="黑体" w:eastAsia="黑体" w:cs="黑体"/>
          <w:b w:val="0"/>
          <w:sz w:val="32"/>
          <w:szCs w:val="32"/>
          <w:highlight w:val="none"/>
          <w:lang w:eastAsia="zh-CN"/>
        </w:rPr>
        <w:t>：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王  涛</w:t>
      </w:r>
      <w:r>
        <w:rPr>
          <w:rStyle w:val="10"/>
          <w:rFonts w:hint="eastAsia" w:ascii="黑体" w:hAnsi="黑体" w:eastAsia="黑体" w:cs="黑体"/>
          <w:b w:val="0"/>
          <w:sz w:val="32"/>
          <w:szCs w:val="32"/>
          <w:highlight w:val="none"/>
          <w:lang w:eastAsia="zh-CN"/>
        </w:rPr>
        <w:t xml:space="preserve"> 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 xml:space="preserve"> 区政府办公室主任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</w:pP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吴新欣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 xml:space="preserve">  区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发展改革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局局长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</w:pP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马伊娜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 xml:space="preserve"> 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 xml:space="preserve"> 区科技局局长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</w:pP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赵作明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 xml:space="preserve">  区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工业和信息化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局局长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</w:pP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彭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 xml:space="preserve">  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鹏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 xml:space="preserve">  区财政局局长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</w:pP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张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 xml:space="preserve">  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锋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 xml:space="preserve">  区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司法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局局长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戚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 xml:space="preserve">  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涛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 xml:space="preserve">  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区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人力资源社会保障局局长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</w:pP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韩建斌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 xml:space="preserve"> 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 xml:space="preserve"> 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区自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 w:color="auto"/>
          <w:lang w:val="en-US" w:eastAsia="zh-CN"/>
        </w:rPr>
        <w:t>然资源局局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</w:pP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王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 xml:space="preserve">  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勇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 xml:space="preserve">  区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住房城乡建设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局局长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</w:pP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关继元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 xml:space="preserve">  区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商务和投资促进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局局长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</w:pP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孙守强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 xml:space="preserve">  区应急管理局局长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Style w:val="10"/>
          <w:rFonts w:hint="default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陈学超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 xml:space="preserve">  区市场监管局局长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</w:pP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谢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 xml:space="preserve">  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莹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 xml:space="preserve">  区统计局局长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</w:pP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刘兆全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 xml:space="preserve">  区金融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服务中心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主任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</w:pP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孙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 xml:space="preserve">  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刚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 xml:space="preserve"> 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 xml:space="preserve"> 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区税务局局长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</w:pP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孙晋永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 xml:space="preserve">  区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生态环境分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局局长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</w:pP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王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 xml:space="preserve">  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利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 xml:space="preserve">  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区消防大队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大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队长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</w:pP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孙晋夫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 xml:space="preserve">  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区人民银行行长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 w:color="auto"/>
          <w:lang w:val="en-US" w:eastAsia="zh-CN" w:bidi="ar-SA"/>
        </w:rPr>
        <w:t>领导小组建立联席会议制度，适时召开全体或部分成员单位参加的联席会议。联席会议原则上每季度召开一次，根据工作需要，也可不定期召开。领导小组下设办公室，办公室设在区金融服务中心，刘兆全同志兼任办公室主任。领导小组成员单位明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 w:color="auto"/>
          <w:lang w:val="en-US" w:eastAsia="zh-CN" w:bidi="ar-SA"/>
        </w:rPr>
        <w:t>名联络员，具体负责联系办理企业上市挂牌相关业务。各成员单位要及时向联席会议及办公室、其他成员单位通报有关情况，加强信息沟通。定期不定期开展工作督查。领导小组成员如有变动由该成员单位的接任领导自然替补。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二、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工作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职责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0"/>
          <w:rFonts w:hint="eastAsia" w:ascii="楷体_GB2312" w:hAnsi="楷体_GB2312" w:eastAsia="楷体_GB2312" w:cs="楷体_GB2312"/>
          <w:b w:val="0"/>
          <w:sz w:val="32"/>
          <w:szCs w:val="32"/>
          <w:highlight w:val="none"/>
        </w:rPr>
      </w:pPr>
      <w:r>
        <w:rPr>
          <w:rStyle w:val="10"/>
          <w:rFonts w:hint="eastAsia" w:ascii="楷体_GB2312" w:hAnsi="楷体_GB2312" w:eastAsia="楷体_GB2312" w:cs="楷体_GB2312"/>
          <w:b w:val="0"/>
          <w:sz w:val="32"/>
          <w:szCs w:val="32"/>
          <w:highlight w:val="none"/>
        </w:rPr>
        <w:t>（一）领导小组有关职责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 w:color="auto"/>
          <w:lang w:val="en-US" w:eastAsia="zh-CN" w:bidi="ar-SA"/>
        </w:rPr>
        <w:t>负责协调企业在上市挂牌过程中所涉及区级单位的相关事项，及时研究解决企业上市挂牌中遇到的困难和问题，推动企业上市挂牌工作的进展。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0"/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</w:pPr>
      <w:r>
        <w:rPr>
          <w:rStyle w:val="10"/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（二）办公室有关职责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1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 w:color="auto"/>
          <w:lang w:val="en-US" w:eastAsia="zh-CN" w:bidi="ar-SA"/>
        </w:rPr>
        <w:t>负责贯彻落实领导小组决定的重大事项，组织、协调推进具体工作；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2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 w:color="auto"/>
          <w:lang w:val="en-US" w:eastAsia="zh-CN" w:bidi="ar-SA"/>
        </w:rPr>
        <w:t>负责上市挂牌工作的统筹、规划、指导、协调、服务工作；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3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 w:color="auto"/>
          <w:lang w:val="en-US" w:eastAsia="zh-CN" w:bidi="ar-SA"/>
        </w:rPr>
        <w:t>加强与上级相关部门和证券服务机构的联系、沟通、协调；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4</w:t>
      </w:r>
      <w:r>
        <w:rPr>
          <w:rStyle w:val="10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 w:color="auto"/>
          <w:lang w:val="en-US" w:eastAsia="zh-CN" w:bidi="ar-SA"/>
        </w:rPr>
        <w:t>协调成员单位及相关部门解决企业上市挂牌过程中遇到的具体问题。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0"/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</w:pPr>
      <w:r>
        <w:rPr>
          <w:rStyle w:val="10"/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（三）各成员单位职责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 w:color="auto"/>
          <w:lang w:val="en-US" w:eastAsia="zh-CN" w:bidi="ar-SA"/>
        </w:rPr>
        <w:t>按照部门职能职责，牵头协助企业妥善处理在上市调查、上市申报和挂牌上市过程中需要解决的具体问题，确保企业顺利上市挂牌。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0"/>
          <w:rFonts w:hint="eastAsia" w:ascii="黑体" w:hAnsi="黑体" w:eastAsia="黑体" w:cs="黑体"/>
          <w:b w:val="0"/>
          <w:sz w:val="32"/>
          <w:szCs w:val="32"/>
          <w:highlight w:val="none"/>
        </w:rPr>
      </w:pPr>
      <w:r>
        <w:rPr>
          <w:rStyle w:val="10"/>
          <w:rFonts w:hint="eastAsia" w:ascii="黑体" w:hAnsi="黑体" w:eastAsia="黑体" w:cs="黑体"/>
          <w:b w:val="0"/>
          <w:sz w:val="32"/>
          <w:szCs w:val="32"/>
          <w:highlight w:val="none"/>
        </w:rPr>
        <w:t>三、</w:t>
      </w:r>
      <w:r>
        <w:rPr>
          <w:rStyle w:val="10"/>
          <w:rFonts w:hint="eastAsia" w:ascii="黑体" w:hAnsi="黑体" w:eastAsia="黑体" w:cs="黑体"/>
          <w:b w:val="0"/>
          <w:sz w:val="32"/>
          <w:szCs w:val="32"/>
          <w:highlight w:val="none"/>
          <w:lang w:eastAsia="zh-CN"/>
        </w:rPr>
        <w:t>工作</w:t>
      </w:r>
      <w:r>
        <w:rPr>
          <w:rStyle w:val="10"/>
          <w:rFonts w:hint="eastAsia" w:ascii="黑体" w:hAnsi="黑体" w:eastAsia="黑体" w:cs="黑体"/>
          <w:b w:val="0"/>
          <w:sz w:val="32"/>
          <w:szCs w:val="32"/>
          <w:highlight w:val="none"/>
        </w:rPr>
        <w:t>要求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 w:color="auto"/>
          <w:lang w:val="en-US" w:eastAsia="zh-CN" w:bidi="ar-SA"/>
        </w:rPr>
        <w:t>（一）加快企业上市挂牌，对企业充分利用资本市场筹集社会资本，提高自身的竞争力，促进企业做大做强，带动产业发展及推动全区经济健康良性发展具有十分重要的意义。各单位务必高度重视企业上市挂牌工作，切实加强组织领导，强化主动协调服务，优化发展环境，为企业顺利上市挂牌做好服务保障工作。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 w:color="auto"/>
          <w:lang w:val="en-US" w:eastAsia="zh-CN" w:bidi="ar-SA"/>
        </w:rPr>
        <w:t>（二）领导小组要充分发挥联席会议的作用，定期召开工作会议，研究企业上市挂牌工作中遇到的重大问题、通报上市挂牌工作进展情况、安排部署各项上市挂牌工作任务，推进企业上市挂牌。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 w:color="auto"/>
          <w:lang w:val="en-US" w:eastAsia="zh-CN" w:bidi="ar-SA"/>
        </w:rPr>
        <w:t>（三）各职能部门要各司其职，齐抓共管，制定推进企业上市挂牌工作的具体措施，有序推进企业上市挂牌工作。</w:t>
      </w:r>
    </w:p>
    <w:sectPr>
      <w:footerReference r:id="rId3" w:type="default"/>
      <w:pgSz w:w="11906" w:h="16838"/>
      <w:pgMar w:top="1984" w:right="1587" w:bottom="1984" w:left="1587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BF2105-270F-4C31-BCED-E4F0B2DC79C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F2606F6-431A-418B-9D61-554805FCCD8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A919AB0-42EC-4935-A4F8-683AB99CC55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E879E41-B929-4EE9-BFBC-6CEA7169E5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OWM4MTQ0YmFkMDUwN2RiMzQyMDYyYzA1ODEzNGIifQ=="/>
  </w:docVars>
  <w:rsids>
    <w:rsidRoot w:val="00000000"/>
    <w:rsid w:val="050B72C1"/>
    <w:rsid w:val="05782E97"/>
    <w:rsid w:val="080755D4"/>
    <w:rsid w:val="0DDB4E5C"/>
    <w:rsid w:val="0E2E3EEC"/>
    <w:rsid w:val="10F22C43"/>
    <w:rsid w:val="11E277B4"/>
    <w:rsid w:val="16667FF6"/>
    <w:rsid w:val="1EB92505"/>
    <w:rsid w:val="1F1C0DD2"/>
    <w:rsid w:val="20797299"/>
    <w:rsid w:val="212E5E1B"/>
    <w:rsid w:val="24534B07"/>
    <w:rsid w:val="250D7AF6"/>
    <w:rsid w:val="29CA09A3"/>
    <w:rsid w:val="2CEA7FE0"/>
    <w:rsid w:val="37A10155"/>
    <w:rsid w:val="38186C38"/>
    <w:rsid w:val="4160147C"/>
    <w:rsid w:val="4DD40E15"/>
    <w:rsid w:val="5148131C"/>
    <w:rsid w:val="529A19B4"/>
    <w:rsid w:val="55C938F6"/>
    <w:rsid w:val="5755728F"/>
    <w:rsid w:val="5A7F3CF8"/>
    <w:rsid w:val="5B823498"/>
    <w:rsid w:val="607B6FC2"/>
    <w:rsid w:val="62317688"/>
    <w:rsid w:val="62B46113"/>
    <w:rsid w:val="65B07D23"/>
    <w:rsid w:val="66535C9F"/>
    <w:rsid w:val="6A2A1269"/>
    <w:rsid w:val="6CFD29AC"/>
    <w:rsid w:val="6D9665F1"/>
    <w:rsid w:val="721C028A"/>
    <w:rsid w:val="7983665E"/>
    <w:rsid w:val="7C6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60" w:line="360" w:lineRule="auto"/>
      <w:ind w:firstLine="210" w:firstLineChars="200"/>
    </w:pPr>
    <w:rPr>
      <w:rFonts w:ascii="Times New Roman" w:hAnsi="Times New Roman" w:eastAsia="仿宋_GB2312" w:cs="Times New Roman"/>
      <w:sz w:val="18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仿宋_GB2312" w:eastAsia="仿宋_GB2312"/>
      <w:sz w:val="32"/>
    </w:rPr>
  </w:style>
  <w:style w:type="paragraph" w:styleId="4">
    <w:name w:val="Body Text"/>
    <w:basedOn w:val="1"/>
    <w:next w:val="5"/>
    <w:qFormat/>
    <w:uiPriority w:val="0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Strong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3482</Words>
  <Characters>3541</Characters>
  <Paragraphs>110</Paragraphs>
  <TotalTime>2</TotalTime>
  <ScaleCrop>false</ScaleCrop>
  <LinksUpToDate>false</LinksUpToDate>
  <CharactersWithSpaces>3656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2022-07-01T08:05:00Z</dcterms:created>
  <dc:creator>丶时光</dc:creator>
  <cp:lastModifiedBy>Administrator</cp:lastModifiedBy>
  <cp:lastPrinted>2022-06-30T03:41:00Z</cp:lastPrinted>
  <dcterms:modified xsi:type="dcterms:W3CDTF">2022-09-23T09:25:58Z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62B9FC41EF434389891E6C6FF2383793</vt:lpwstr>
  </property>
</Properties>
</file>